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9EF" w:rsidRDefault="002E1ED3" w:rsidP="002E1ED3">
      <w:pPr>
        <w:spacing w:line="480" w:lineRule="auto"/>
        <w:rPr>
          <w:noProof/>
        </w:rPr>
      </w:pPr>
      <w:bookmarkStart w:id="0" w:name="_GoBack"/>
      <w:bookmarkEnd w:id="0"/>
      <w:r w:rsidRPr="00DA4EB3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Figure S1</w:t>
      </w:r>
      <w:r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 w:rsidRPr="00DA4EB3">
        <w:rPr>
          <w:rFonts w:ascii="Times New Roman" w:hAnsi="Times New Roman" w:cs="Times New Roman"/>
          <w:color w:val="000000" w:themeColor="text1"/>
          <w:sz w:val="24"/>
          <w:szCs w:val="24"/>
        </w:rPr>
        <w:t>Correlation coefficient value distribution in heatmap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of Model, PW5 and WN5 groups</w:t>
      </w:r>
    </w:p>
    <w:p w:rsidR="002E1ED3" w:rsidRDefault="002E1ED3">
      <w:pPr>
        <w:rPr>
          <w:noProof/>
        </w:rPr>
      </w:pPr>
      <w:r>
        <w:rPr>
          <w:noProof/>
          <w:lang w:val="pl-PL" w:eastAsia="pl-PL"/>
        </w:rPr>
        <w:drawing>
          <wp:inline distT="0" distB="0" distL="0" distR="0" wp14:anchorId="3E8FEA4E" wp14:editId="321C7CE4">
            <wp:extent cx="5274310" cy="52743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ED3" w:rsidRPr="00FE4771" w:rsidRDefault="002E1ED3" w:rsidP="002E1E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E4771">
        <w:rPr>
          <w:rFonts w:ascii="Times New Roman" w:hAnsi="Times New Roman" w:cs="Times New Roman"/>
          <w:sz w:val="24"/>
          <w:szCs w:val="24"/>
        </w:rPr>
        <w:t>Note: C represented as Control group (Aβ42-WT, no abnormal protein aggregates</w:t>
      </w:r>
      <w:r>
        <w:rPr>
          <w:rFonts w:ascii="Times New Roman" w:hAnsi="Times New Roman" w:cs="Times New Roman" w:hint="eastAsia"/>
          <w:sz w:val="24"/>
          <w:szCs w:val="24"/>
        </w:rPr>
        <w:t xml:space="preserve"> in cells</w:t>
      </w:r>
      <w:r w:rsidRPr="00FE4771">
        <w:rPr>
          <w:rFonts w:ascii="Times New Roman" w:hAnsi="Times New Roman" w:cs="Times New Roman"/>
          <w:sz w:val="24"/>
          <w:szCs w:val="24"/>
        </w:rPr>
        <w:t>); M represented as Model group (Aβ</w:t>
      </w:r>
      <w:r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 w:hint="eastAsia"/>
          <w:sz w:val="24"/>
          <w:szCs w:val="24"/>
        </w:rPr>
        <w:t>-E22G mutant, abnormal red protein aggregates in cells</w:t>
      </w:r>
      <w:r w:rsidRPr="00FE4771">
        <w:rPr>
          <w:rFonts w:ascii="Times New Roman" w:hAnsi="Times New Roman" w:cs="Times New Roman"/>
          <w:sz w:val="24"/>
          <w:szCs w:val="24"/>
        </w:rPr>
        <w:t>); NM represented as non-induced Model group (</w:t>
      </w:r>
      <w:r>
        <w:rPr>
          <w:rFonts w:ascii="Times New Roman" w:hAnsi="Times New Roman" w:cs="Times New Roman" w:hint="eastAsia"/>
          <w:sz w:val="24"/>
          <w:szCs w:val="24"/>
        </w:rPr>
        <w:t>without tetracycline induced leading to no red proteins aggregates in cells</w:t>
      </w:r>
      <w:r w:rsidRPr="00FE4771">
        <w:rPr>
          <w:rFonts w:ascii="Times New Roman" w:hAnsi="Times New Roman" w:cs="Times New Roman"/>
          <w:sz w:val="24"/>
          <w:szCs w:val="24"/>
        </w:rPr>
        <w:t>).</w:t>
      </w:r>
    </w:p>
    <w:p w:rsidR="002E1ED3" w:rsidRPr="002E1ED3" w:rsidRDefault="002E1ED3"/>
    <w:sectPr w:rsidR="002E1ED3" w:rsidRPr="002E1E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ED3"/>
    <w:rsid w:val="000B213E"/>
    <w:rsid w:val="002E1ED3"/>
    <w:rsid w:val="00B2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ED3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ED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341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2020-02-28T05:46:00Z</dcterms:created>
  <dcterms:modified xsi:type="dcterms:W3CDTF">2021-11-19T09:49:00Z</dcterms:modified>
</cp:coreProperties>
</file>